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9072" w:type="dxa"/>
        <w:jc w:val="left"/>
        <w:tblInd w:w="0" w:type="dxa"/>
        <w:tblLayout w:type="fixed"/>
        <w:tblCellMar>
          <w:top w:w="55" w:type="dxa"/>
          <w:left w:w="55" w:type="dxa"/>
          <w:bottom w:w="55" w:type="dxa"/>
          <w:right w:w="55" w:type="dxa"/>
        </w:tblCellMar>
      </w:tblPr>
      <w:tblGrid>
        <w:gridCol w:w="4595"/>
        <w:gridCol w:w="4477"/>
      </w:tblGrid>
      <w:tr>
        <w:trPr/>
        <w:tc>
          <w:tcPr>
            <w:tcW w:w="4595" w:type="dxa"/>
            <w:tcBorders/>
            <w:shd w:fill="auto" w:val="clear"/>
          </w:tcPr>
          <w:p>
            <w:pPr>
              <w:pStyle w:val="Zawartotabeliuser"/>
              <w:widowControl w:val="false"/>
              <w:rPr>
                <w:rFonts w:ascii="Arial" w:hAnsi="Arial"/>
                <w:sz w:val="18"/>
                <w:szCs w:val="18"/>
              </w:rPr>
            </w:pPr>
            <w:r>
              <w:rPr/>
              <w:drawing>
                <wp:inline distT="0" distB="0" distL="0" distR="0">
                  <wp:extent cx="539750" cy="601345"/>
                  <wp:effectExtent l="0" t="0" r="0" b="0"/>
                  <wp:docPr id="1"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1"/>
                          <pic:cNvPicPr>
                            <a:picLocks noChangeAspect="1" noChangeArrowheads="1"/>
                          </pic:cNvPicPr>
                        </pic:nvPicPr>
                        <pic:blipFill>
                          <a:blip r:embed="rId2"/>
                          <a:stretch>
                            <a:fillRect/>
                          </a:stretch>
                        </pic:blipFill>
                        <pic:spPr bwMode="auto">
                          <a:xfrm>
                            <a:off x="0" y="0"/>
                            <a:ext cx="539750" cy="601345"/>
                          </a:xfrm>
                          <a:prstGeom prst="rect">
                            <a:avLst/>
                          </a:prstGeom>
                          <a:noFill/>
                        </pic:spPr>
                      </pic:pic>
                    </a:graphicData>
                  </a:graphic>
                </wp:inline>
              </w:drawing>
            </w:r>
          </w:p>
        </w:tc>
        <w:tc>
          <w:tcPr>
            <w:tcW w:w="4477" w:type="dxa"/>
            <w:tcBorders/>
            <w:shd w:fill="auto" w:val="clear"/>
          </w:tcPr>
          <w:p>
            <w:pPr>
              <w:pStyle w:val="Zawartotabeliuser"/>
              <w:widowControl w:val="false"/>
              <w:rPr>
                <w:rFonts w:ascii="Arial" w:hAnsi="Arial"/>
                <w:sz w:val="18"/>
                <w:szCs w:val="18"/>
              </w:rPr>
            </w:pPr>
            <w:r>
              <w:rPr>
                <w:sz w:val="18"/>
                <w:szCs w:val="18"/>
              </w:rPr>
            </w:r>
          </w:p>
        </w:tc>
      </w:tr>
      <w:tr>
        <w:trPr/>
        <w:tc>
          <w:tcPr>
            <w:tcW w:w="4595" w:type="dxa"/>
            <w:tcBorders/>
            <w:shd w:fill="auto" w:val="clear"/>
          </w:tcPr>
          <w:p>
            <w:pPr>
              <w:pStyle w:val="Zawartotabeliuser"/>
              <w:widowControl w:val="false"/>
              <w:rPr/>
            </w:pPr>
            <w:r>
              <w:rPr/>
              <w:t>Prezydent Miasta Rybnika</w:t>
            </w:r>
          </w:p>
        </w:tc>
        <w:tc>
          <w:tcPr>
            <w:tcW w:w="4477" w:type="dxa"/>
            <w:vMerge w:val="restart"/>
            <w:tcBorders/>
            <w:shd w:fill="auto" w:val="clear"/>
          </w:tcPr>
          <w:p>
            <w:pPr>
              <w:pStyle w:val="Zawartotabeliuser"/>
              <w:widowControl w:val="false"/>
              <w:rPr>
                <w:rFonts w:ascii="Arial" w:hAnsi="Arial"/>
                <w:b/>
                <w:bCs/>
                <w:sz w:val="18"/>
                <w:szCs w:val="18"/>
              </w:rPr>
            </w:pPr>
            <w:r>
              <w:rPr/>
              <w:t xml:space="preserve">Radny Miasta Rybnika </w:t>
            </w:r>
          </w:p>
          <w:p>
            <w:pPr>
              <w:pStyle w:val="Zawartotabeliuser"/>
              <w:widowControl w:val="false"/>
              <w:rPr>
                <w:rFonts w:ascii="Arial" w:hAnsi="Arial"/>
                <w:b/>
                <w:bCs/>
                <w:sz w:val="18"/>
                <w:szCs w:val="18"/>
              </w:rPr>
            </w:pPr>
            <w:r>
              <w:rPr/>
              <w:t xml:space="preserve">Pan </w:t>
            </w:r>
            <w:r>
              <w:rPr/>
              <w:t>Krzysztof Kazek</w:t>
            </w:r>
          </w:p>
          <w:p>
            <w:pPr>
              <w:pStyle w:val="Zawartotabeliuser"/>
              <w:widowControl w:val="false"/>
              <w:rPr>
                <w:rFonts w:ascii="Arial" w:hAnsi="Arial"/>
                <w:b/>
                <w:bCs/>
                <w:sz w:val="18"/>
                <w:szCs w:val="18"/>
              </w:rPr>
            </w:pPr>
            <w:r>
              <w:rPr/>
            </w:r>
          </w:p>
        </w:tc>
      </w:tr>
      <w:tr>
        <w:trPr/>
        <w:tc>
          <w:tcPr>
            <w:tcW w:w="4595" w:type="dxa"/>
            <w:tcBorders/>
            <w:shd w:fill="auto" w:val="clear"/>
          </w:tcPr>
          <w:p>
            <w:pPr>
              <w:pStyle w:val="Zawartotabeliuser"/>
              <w:widowControl w:val="false"/>
              <w:rPr>
                <w:rFonts w:ascii="Arial" w:hAnsi="Arial"/>
                <w:b w:val="false"/>
                <w:bCs w:val="false"/>
                <w:sz w:val="18"/>
                <w:szCs w:val="18"/>
              </w:rPr>
            </w:pPr>
            <w:r>
              <w:rPr>
                <w:b w:val="false"/>
                <w:bCs w:val="false"/>
                <w:sz w:val="18"/>
                <w:szCs w:val="18"/>
              </w:rPr>
            </w:r>
          </w:p>
        </w:tc>
        <w:tc>
          <w:tcPr>
            <w:tcW w:w="4477" w:type="dxa"/>
            <w:vMerge w:val="continue"/>
            <w:tcBorders/>
            <w:shd w:fill="auto" w:val="clear"/>
          </w:tcPr>
          <w:p>
            <w:pPr>
              <w:pStyle w:val="Zawartotabeliuser"/>
              <w:widowControl w:val="false"/>
              <w:rPr>
                <w:rFonts w:ascii="Arial" w:hAnsi="Arial"/>
                <w:sz w:val="18"/>
                <w:szCs w:val="18"/>
              </w:rPr>
            </w:pPr>
            <w:r>
              <w:rPr>
                <w:sz w:val="18"/>
                <w:szCs w:val="18"/>
              </w:rPr>
            </w:r>
          </w:p>
        </w:tc>
      </w:tr>
      <w:tr>
        <w:trPr/>
        <w:tc>
          <w:tcPr>
            <w:tcW w:w="4595" w:type="dxa"/>
            <w:tcBorders/>
            <w:shd w:fill="auto" w:val="clear"/>
          </w:tcPr>
          <w:p>
            <w:pPr>
              <w:pStyle w:val="Zawartotabeliuser"/>
              <w:widowControl w:val="false"/>
              <w:rPr/>
            </w:pPr>
            <w:r>
              <w:rPr/>
              <w:t>44-200 Rybnik, ul. Bolesława Chrobrego 2</w:t>
            </w:r>
          </w:p>
        </w:tc>
        <w:tc>
          <w:tcPr>
            <w:tcW w:w="4477" w:type="dxa"/>
            <w:vMerge w:val="continue"/>
            <w:tcBorders/>
            <w:shd w:fill="auto" w:val="clear"/>
          </w:tcPr>
          <w:p>
            <w:pPr>
              <w:pStyle w:val="Zawartotabeliuser"/>
              <w:widowControl w:val="false"/>
              <w:rPr>
                <w:rFonts w:ascii="Arial" w:hAnsi="Arial"/>
                <w:sz w:val="18"/>
                <w:szCs w:val="18"/>
              </w:rPr>
            </w:pPr>
            <w:r>
              <w:rPr>
                <w:sz w:val="18"/>
                <w:szCs w:val="18"/>
              </w:rPr>
            </w:r>
          </w:p>
        </w:tc>
      </w:tr>
      <w:tr>
        <w:trPr/>
        <w:tc>
          <w:tcPr>
            <w:tcW w:w="4595" w:type="dxa"/>
            <w:tcBorders/>
            <w:shd w:fill="auto" w:val="clear"/>
          </w:tcPr>
          <w:p>
            <w:pPr>
              <w:pStyle w:val="Zawartotabeliuser"/>
              <w:widowControl w:val="false"/>
              <w:rPr/>
            </w:pPr>
            <w:r>
              <w:rPr/>
              <w:t>t. +48 32 43 92 107, f. +48 32 42 24 124</w:t>
            </w:r>
          </w:p>
        </w:tc>
        <w:tc>
          <w:tcPr>
            <w:tcW w:w="4477" w:type="dxa"/>
            <w:vMerge w:val="continue"/>
            <w:tcBorders/>
            <w:shd w:fill="auto" w:val="clear"/>
          </w:tcPr>
          <w:p>
            <w:pPr>
              <w:pStyle w:val="Zawartotabeliuser"/>
              <w:widowControl w:val="false"/>
              <w:rPr>
                <w:rFonts w:ascii="Arial" w:hAnsi="Arial"/>
                <w:sz w:val="18"/>
                <w:szCs w:val="18"/>
              </w:rPr>
            </w:pPr>
            <w:r>
              <w:rPr>
                <w:sz w:val="18"/>
                <w:szCs w:val="18"/>
              </w:rPr>
            </w:r>
          </w:p>
        </w:tc>
      </w:tr>
      <w:tr>
        <w:trPr/>
        <w:tc>
          <w:tcPr>
            <w:tcW w:w="4595" w:type="dxa"/>
            <w:tcBorders/>
            <w:shd w:fill="auto" w:val="clear"/>
          </w:tcPr>
          <w:p>
            <w:pPr>
              <w:pStyle w:val="Zawartotabeliuser"/>
              <w:widowControl w:val="false"/>
              <w:rPr/>
            </w:pPr>
            <w:r>
              <w:rPr/>
              <w:t>rybnik@um.rybnik.pl</w:t>
            </w:r>
          </w:p>
        </w:tc>
        <w:tc>
          <w:tcPr>
            <w:tcW w:w="4477" w:type="dxa"/>
            <w:vMerge w:val="continue"/>
            <w:tcBorders/>
            <w:shd w:fill="auto" w:val="clear"/>
          </w:tcPr>
          <w:p>
            <w:pPr>
              <w:pStyle w:val="Zawartotabeliuser"/>
              <w:widowControl w:val="false"/>
              <w:rPr>
                <w:rFonts w:ascii="Arial" w:hAnsi="Arial"/>
                <w:sz w:val="18"/>
                <w:szCs w:val="18"/>
              </w:rPr>
            </w:pPr>
            <w:r>
              <w:rPr>
                <w:sz w:val="18"/>
                <w:szCs w:val="18"/>
              </w:rPr>
            </w:r>
          </w:p>
        </w:tc>
      </w:tr>
      <w:tr>
        <w:trPr/>
        <w:tc>
          <w:tcPr>
            <w:tcW w:w="4595" w:type="dxa"/>
            <w:tcBorders/>
            <w:shd w:fill="auto" w:val="clear"/>
          </w:tcPr>
          <w:p>
            <w:pPr>
              <w:pStyle w:val="Zawartotabeliuser"/>
              <w:widowControl w:val="false"/>
              <w:rPr>
                <w:rFonts w:ascii="Arial" w:hAnsi="Arial"/>
                <w:b w:val="false"/>
                <w:bCs w:val="false"/>
                <w:sz w:val="18"/>
                <w:szCs w:val="18"/>
              </w:rPr>
            </w:pPr>
            <w:r>
              <w:rPr>
                <w:b w:val="false"/>
                <w:bCs w:val="false"/>
                <w:sz w:val="18"/>
                <w:szCs w:val="18"/>
              </w:rPr>
            </w:r>
          </w:p>
        </w:tc>
        <w:tc>
          <w:tcPr>
            <w:tcW w:w="4477" w:type="dxa"/>
            <w:vMerge w:val="continue"/>
            <w:tcBorders/>
            <w:shd w:fill="auto" w:val="clear"/>
          </w:tcPr>
          <w:p>
            <w:pPr>
              <w:pStyle w:val="Zawartotabeliuser"/>
              <w:widowControl w:val="false"/>
              <w:rPr>
                <w:rFonts w:ascii="Arial" w:hAnsi="Arial"/>
                <w:sz w:val="18"/>
                <w:szCs w:val="18"/>
              </w:rPr>
            </w:pPr>
            <w:r>
              <w:rPr>
                <w:sz w:val="18"/>
                <w:szCs w:val="18"/>
              </w:rPr>
            </w:r>
          </w:p>
        </w:tc>
      </w:tr>
      <w:tr>
        <w:trPr/>
        <w:tc>
          <w:tcPr>
            <w:tcW w:w="4595" w:type="dxa"/>
            <w:tcBorders/>
            <w:shd w:fill="auto" w:val="clear"/>
          </w:tcPr>
          <w:p>
            <w:pPr>
              <w:pStyle w:val="Zawartotabeliuser"/>
              <w:widowControl w:val="false"/>
              <w:rPr>
                <w:rFonts w:ascii="Times New Roman" w:hAnsi="Times New Roman"/>
                <w:b/>
                <w:bCs/>
                <w:sz w:val="20"/>
                <w:szCs w:val="20"/>
              </w:rPr>
            </w:pPr>
            <w:r>
              <w:rPr/>
              <w:t>OU-BR.0003.55.2026</w:t>
            </w:r>
          </w:p>
        </w:tc>
        <w:tc>
          <w:tcPr>
            <w:tcW w:w="4477" w:type="dxa"/>
            <w:tcBorders/>
            <w:shd w:fill="auto" w:val="clear"/>
          </w:tcPr>
          <w:p>
            <w:pPr>
              <w:pStyle w:val="Zawartotabeliuser"/>
              <w:widowControl w:val="false"/>
              <w:rPr>
                <w:rFonts w:ascii="Times New Roman" w:hAnsi="Times New Roman"/>
                <w:sz w:val="20"/>
                <w:szCs w:val="20"/>
              </w:rPr>
            </w:pPr>
            <w:r>
              <w:rPr/>
              <w:t>2026-3491</w:t>
            </w:r>
          </w:p>
        </w:tc>
      </w:tr>
      <w:tr>
        <w:trPr/>
        <w:tc>
          <w:tcPr>
            <w:tcW w:w="4595" w:type="dxa"/>
            <w:tcBorders/>
            <w:shd w:fill="auto" w:val="clear"/>
          </w:tcPr>
          <w:p>
            <w:pPr>
              <w:pStyle w:val="Zawartotabeliuser"/>
              <w:widowControl w:val="false"/>
              <w:rPr>
                <w:rFonts w:ascii="Times New Roman" w:hAnsi="Times New Roman"/>
                <w:b/>
                <w:bCs/>
                <w:sz w:val="20"/>
                <w:szCs w:val="20"/>
              </w:rPr>
            </w:pPr>
            <w:r>
              <w:rPr>
                <w:rFonts w:ascii="Times New Roman" w:hAnsi="Times New Roman"/>
                <w:b/>
                <w:bCs/>
                <w:sz w:val="20"/>
                <w:szCs w:val="20"/>
              </w:rPr>
            </w:r>
          </w:p>
        </w:tc>
        <w:tc>
          <w:tcPr>
            <w:tcW w:w="4477" w:type="dxa"/>
            <w:tcBorders/>
            <w:shd w:fill="auto" w:val="clear"/>
          </w:tcPr>
          <w:p>
            <w:pPr>
              <w:pStyle w:val="Zawartotabeliuser"/>
              <w:widowControl w:val="false"/>
              <w:rPr>
                <w:rFonts w:ascii="Times New Roman" w:hAnsi="Times New Roman"/>
                <w:sz w:val="20"/>
                <w:szCs w:val="20"/>
              </w:rPr>
            </w:pPr>
            <w:r>
              <w:rPr>
                <w:rFonts w:ascii="Times New Roman" w:hAnsi="Times New Roman"/>
                <w:sz w:val="20"/>
                <w:szCs w:val="20"/>
              </w:rPr>
            </w:r>
          </w:p>
        </w:tc>
      </w:tr>
      <w:tr>
        <w:trPr/>
        <w:tc>
          <w:tcPr>
            <w:tcW w:w="4595" w:type="dxa"/>
            <w:tcBorders/>
            <w:shd w:fill="auto" w:val="clear"/>
          </w:tcPr>
          <w:p>
            <w:pPr>
              <w:pStyle w:val="Zawartotabeliuser"/>
              <w:widowControl w:val="false"/>
              <w:rPr>
                <w:rFonts w:ascii="Times New Roman" w:hAnsi="Times New Roman"/>
                <w:b/>
                <w:bCs/>
                <w:sz w:val="20"/>
                <w:szCs w:val="20"/>
              </w:rPr>
            </w:pPr>
            <w:r>
              <w:rPr>
                <w:rFonts w:ascii="Times New Roman" w:hAnsi="Times New Roman"/>
                <w:b/>
                <w:bCs/>
                <w:sz w:val="20"/>
                <w:szCs w:val="20"/>
              </w:rPr>
            </w:r>
          </w:p>
        </w:tc>
        <w:tc>
          <w:tcPr>
            <w:tcW w:w="4477" w:type="dxa"/>
            <w:tcBorders/>
            <w:shd w:fill="auto" w:val="clear"/>
          </w:tcPr>
          <w:p>
            <w:pPr>
              <w:pStyle w:val="Zawartotabeliuser"/>
              <w:widowControl w:val="false"/>
              <w:rPr>
                <w:rFonts w:ascii="Arial" w:hAnsi="Arial"/>
                <w:sz w:val="22"/>
                <w:szCs w:val="22"/>
              </w:rPr>
            </w:pPr>
            <w:r>
              <w:rPr/>
              <w:t>Rybnik, dnia 30.04.2026 r.</w:t>
            </w:r>
          </w:p>
        </w:tc>
      </w:tr>
    </w:tbl>
    <w:p>
      <w:pPr>
        <w:pStyle w:val="TrescZZM"/>
        <w:rPr>
          <w:rFonts w:ascii="Arial" w:hAnsi="Arial"/>
          <w:sz w:val="22"/>
          <w:szCs w:val="22"/>
        </w:rPr>
      </w:pPr>
      <w:r>
        <w:rPr>
          <w:sz w:val="24"/>
          <w:szCs w:val="24"/>
        </w:rPr>
      </w:r>
    </w:p>
    <w:p>
      <w:pPr>
        <w:pStyle w:val="Normal"/>
        <w:spacing w:lineRule="exact" w:line="390"/>
        <w:jc w:val="both"/>
        <w:rPr>
          <w:rFonts w:ascii="Arial" w:hAnsi="Arial"/>
          <w:sz w:val="22"/>
          <w:szCs w:val="22"/>
        </w:rPr>
      </w:pPr>
      <w:r>
        <w:rPr>
          <w:sz w:val="22"/>
          <w:szCs w:val="22"/>
        </w:rPr>
        <w:t>W odpowiedzi na interpelację radnego miasta Rybnika Krzysztofa Kazka w sprawie wykorzystania podkładów kolejowych we wskazanych lokalizacjach informuję, co następuje.</w:t>
      </w:r>
    </w:p>
    <w:p>
      <w:pPr>
        <w:pStyle w:val="Normal"/>
        <w:spacing w:lineRule="exact" w:line="390"/>
        <w:jc w:val="both"/>
        <w:rPr>
          <w:rFonts w:ascii="Arial" w:hAnsi="Arial"/>
          <w:sz w:val="22"/>
          <w:szCs w:val="22"/>
        </w:rPr>
      </w:pPr>
      <w:r>
        <w:rPr>
          <w:sz w:val="22"/>
          <w:szCs w:val="22"/>
        </w:rPr>
      </w:r>
    </w:p>
    <w:p>
      <w:pPr>
        <w:pStyle w:val="Normal"/>
        <w:spacing w:lineRule="exact" w:line="390"/>
        <w:jc w:val="both"/>
        <w:rPr>
          <w:rFonts w:ascii="Arial" w:hAnsi="Arial"/>
          <w:sz w:val="22"/>
          <w:szCs w:val="22"/>
        </w:rPr>
      </w:pPr>
      <w:r>
        <w:rPr>
          <w:sz w:val="22"/>
          <w:szCs w:val="22"/>
        </w:rPr>
        <w:t>Podkłady kolejowe wykorzystane do zagospodarowania przy aranżacji zieleni na rondach pn.: „Chwałowickie” i „Irlandii Północnej” zostały pozyskane z PKP przy ul. Śląskiej po remontach torów kolejowych. Z relacji świadków tamtego czasu wynika, że podkłady były zwietrzałe i organoleptycznie nie wykazywały toksycznych cech zastosowanego impregnatu. Wyspy rond w swojej obecnej odsłonie zostały wykonane w końcówce lat 90-tych poprzedniego wieku, a koncepcje zagospodarowania były zatwierdzane każdorazowo na naradach branżowych w Urzędzie Miasta. W zatwierdzonych koncepcjach przedmiotowe podkłady spełniały rolę podtrzymującą różnice w poziomach gruntu. Patrząc wstecz na ponad 20- letnią wegetację roślin Zarząd Zieleni Miejskiej nie dostrzegł żadnych symptomów wskazujących na utrudniony rozwój roślinności spowodowanych szkodliwym wpływem zastosowanych tam podkładów kolejowych. Obawa w zakresie bezpieczeństwa zdrowotnego mieszkańców, jak najbardziej zasadna, powinna zostać odniesiona do lokalizacji gdyż są to wyspy na środkach skrzyżowań komunikacyjnych.</w:t>
      </w:r>
    </w:p>
    <w:p>
      <w:pPr>
        <w:pStyle w:val="Normal"/>
        <w:spacing w:lineRule="exact" w:line="390"/>
        <w:jc w:val="both"/>
        <w:rPr>
          <w:rFonts w:ascii="Arial" w:hAnsi="Arial"/>
          <w:sz w:val="22"/>
          <w:szCs w:val="22"/>
        </w:rPr>
      </w:pPr>
      <w:r>
        <w:rPr>
          <w:sz w:val="22"/>
          <w:szCs w:val="22"/>
        </w:rPr>
        <w:t xml:space="preserve">Jeżeli chodzi o dokumentację techniczną potwierdzającą skład oraz bezpieczeństwo zastosowanych materiałów to Miasto nie posiada takowej. Za pozyskiwanie materiałów do aranżacji zieleni na terenie miasta był odpowiedzialny Zarząd Zieleni Miejskiej, któremu bezpłatnie przekazano te podkłady kolejowe. </w:t>
      </w:r>
    </w:p>
    <w:p>
      <w:pPr>
        <w:pStyle w:val="Normal"/>
        <w:spacing w:lineRule="exact" w:line="390"/>
        <w:jc w:val="both"/>
        <w:rPr>
          <w:rFonts w:ascii="Arial" w:hAnsi="Arial"/>
          <w:sz w:val="22"/>
          <w:szCs w:val="22"/>
        </w:rPr>
      </w:pPr>
      <w:r>
        <w:rPr>
          <w:sz w:val="22"/>
          <w:szCs w:val="22"/>
        </w:rPr>
        <w:t xml:space="preserve">Na okoliczność wykorzystania tych elementów w przestrzeni miejskiej nie przeprowadzono wówczas oceny i badań dotyczących wpływu tych materiałów na zdrowie ludzi i środowisko, a tym samym zastosowanie tych materiałów nie było konsultowane z żadnymi instytucjami odpowiedzialnymi za ochronę środowiska. Podkreślenia wymaga fakt, że podkłady kolejowe jako materiał do aranżacji był popularny i chętnie wykorzystywany w wielu projektach </w:t>
        <w:br/>
        <w:t xml:space="preserve">w mieście, tak publicznych, jak i prywatnych. Podobnie ma się rzecz z wykorzystaniem przedmiotowych podkładów w rejonie Placu Kopernika - istnieją tam od tożsamego czasu jak na rondach. </w:t>
      </w:r>
    </w:p>
    <w:p>
      <w:pPr>
        <w:pStyle w:val="Normal"/>
        <w:spacing w:lineRule="exact" w:line="390"/>
        <w:jc w:val="both"/>
        <w:rPr>
          <w:rFonts w:ascii="Arial" w:hAnsi="Arial"/>
          <w:sz w:val="22"/>
          <w:szCs w:val="22"/>
        </w:rPr>
      </w:pPr>
      <w:r>
        <w:rPr>
          <w:sz w:val="22"/>
          <w:szCs w:val="22"/>
        </w:rPr>
        <w:t xml:space="preserve">Wskazać należy, że wzruszenie podkładów jako elementów konstrukcyjnych wiąże się </w:t>
        <w:br/>
        <w:t xml:space="preserve">z koniecznością przebudowy i prawdopodobnie zniszczeniem roślinności, która rozwinęła się w stworzonym siedlisku. Niemniej jednak świadomość zagrożenia, jakie mogą generować podkłady nie pozostawia innego wyjścia niż usunięcie i przebudowa wysp przedmiotowych rond. Zadanie to, jako wymagające licznych uzgodnień, w tym między innymi projektowania, zmian w organizacji ruchu i utylizacji odpadów zostanie odpowiednio zaplanowane </w:t>
        <w:br/>
        <w:t xml:space="preserve">w przyszłym budżecie Zarządu Zieleni Miejskiej. </w:t>
      </w:r>
    </w:p>
    <w:p>
      <w:pPr>
        <w:pStyle w:val="Normal"/>
        <w:rPr/>
      </w:pPr>
      <w:r>
        <w:rPr/>
      </w:r>
    </w:p>
    <w:sectPr>
      <w:footerReference w:type="even" r:id="rId3"/>
      <w:footerReference w:type="default" r:id="rId4"/>
      <w:footerReference w:type="first" r:id="rId5"/>
      <w:type w:val="nextPage"/>
      <w:pgSz w:w="11906" w:h="16838"/>
      <w:pgMar w:left="1417" w:right="1417" w:gutter="0" w:header="0" w:top="1417" w:footer="1417" w:bottom="203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Arial">
    <w:charset w:val="ee"/>
    <w:family w:val="swiss"/>
    <w:pitch w:val="variable"/>
  </w:font>
  <w:font w:name="Liberation Sans">
    <w:altName w:val="Arial"/>
    <w:charset w:val="ee"/>
    <w:family w:val="swiss"/>
    <w:pitch w:val="variable"/>
  </w:font>
  <w:font w:name="Liberation Sans">
    <w:altName w:val="Arial"/>
    <w:charset w:val="ee"/>
    <w:family w:val="roman"/>
    <w:pitch w:val="variable"/>
  </w:font>
  <w:font w:name="Times New Roman">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072" w:type="dxa"/>
      <w:jc w:val="left"/>
      <w:tblInd w:w="0" w:type="dxa"/>
      <w:tblLayout w:type="fixed"/>
      <w:tblCellMar>
        <w:top w:w="55" w:type="dxa"/>
        <w:left w:w="55" w:type="dxa"/>
        <w:bottom w:w="55" w:type="dxa"/>
        <w:right w:w="55" w:type="dxa"/>
      </w:tblCellMar>
    </w:tblPr>
    <w:tblGrid>
      <w:gridCol w:w="4536"/>
      <w:gridCol w:w="4536"/>
    </w:tblGrid>
    <w:tr>
      <w:trPr/>
      <w:tc>
        <w:tcPr>
          <w:tcW w:w="4536" w:type="dxa"/>
          <w:tcBorders>
            <w:top w:val="single" w:sz="8" w:space="0" w:color="000001"/>
          </w:tcBorders>
          <w:shd w:fill="auto" w:val="clear"/>
        </w:tcPr>
        <w:p>
          <w:pPr>
            <w:pStyle w:val="Zawartotabeliuser"/>
            <w:widowControl w:val="false"/>
            <w:rPr>
              <w:rFonts w:ascii="Times New Roman" w:hAnsi="Times New Roman"/>
              <w:b/>
              <w:bCs/>
              <w:sz w:val="16"/>
              <w:szCs w:val="16"/>
            </w:rPr>
          </w:pPr>
          <w:r>
            <w:rPr/>
            <w:t>ESOD: 2026-3491</w:t>
          </w:r>
        </w:p>
      </w:tc>
      <w:tc>
        <w:tcPr>
          <w:tcW w:w="4536" w:type="dxa"/>
          <w:tcBorders>
            <w:top w:val="single" w:sz="8" w:space="0" w:color="000001"/>
          </w:tcBorders>
          <w:shd w:fill="auto" w:val="clear"/>
        </w:tcPr>
        <w:p>
          <w:pPr>
            <w:pStyle w:val="Zawartotabeliuser"/>
            <w:widowControl w:val="false"/>
            <w:jc w:val="right"/>
            <w:rPr/>
          </w:pPr>
          <w:r>
            <w:rPr/>
            <w:fldChar w:fldCharType="begin"/>
          </w:r>
          <w:r>
            <w:rPr/>
            <w:instrText xml:space="preserve"> PAGE </w:instrText>
          </w:r>
          <w:r>
            <w:rPr/>
            <w:fldChar w:fldCharType="separate"/>
          </w:r>
          <w:r>
            <w:rPr/>
            <w:t>2</w:t>
          </w:r>
          <w:r>
            <w:rPr/>
            <w:fldChar w:fldCharType="end"/>
          </w:r>
          <w:r>
            <w:rPr/>
            <w:t>/</w:t>
          </w:r>
          <w:r>
            <w:rPr/>
            <w:fldChar w:fldCharType="begin"/>
          </w:r>
          <w:r>
            <w:rPr/>
            <w:instrText xml:space="preserve"> NUMPAGES </w:instrText>
          </w:r>
          <w:r>
            <w:rPr/>
            <w:fldChar w:fldCharType="separate"/>
          </w:r>
          <w:r>
            <w:rPr/>
            <w:t>2</w:t>
          </w:r>
          <w:r>
            <w:rPr/>
            <w:fldChar w:fldCharType="end"/>
          </w:r>
        </w:p>
      </w:tc>
    </w:tr>
  </w:tbl>
  <w:p>
    <w:pPr>
      <w:pStyle w:val="Footer"/>
      <w:rPr>
        <w:rFonts w:ascii="Times New Roman" w:hAnsi="Times New Roman"/>
        <w:sz w:val="12"/>
        <w:szCs w:val="12"/>
      </w:rPr>
    </w:pPr>
    <w:r>
      <w:rPr>
        <w:rFonts w:ascii="Times New Roman" w:hAnsi="Times New Roman"/>
        <w:sz w:val="12"/>
        <w:szCs w:val="12"/>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072" w:type="dxa"/>
      <w:jc w:val="left"/>
      <w:tblInd w:w="0" w:type="dxa"/>
      <w:tblLayout w:type="fixed"/>
      <w:tblCellMar>
        <w:top w:w="55" w:type="dxa"/>
        <w:left w:w="55" w:type="dxa"/>
        <w:bottom w:w="55" w:type="dxa"/>
        <w:right w:w="55" w:type="dxa"/>
      </w:tblCellMar>
    </w:tblPr>
    <w:tblGrid>
      <w:gridCol w:w="4536"/>
      <w:gridCol w:w="4536"/>
    </w:tblGrid>
    <w:tr>
      <w:trPr/>
      <w:tc>
        <w:tcPr>
          <w:tcW w:w="4536" w:type="dxa"/>
          <w:tcBorders>
            <w:top w:val="single" w:sz="8" w:space="0" w:color="000001"/>
          </w:tcBorders>
          <w:shd w:fill="auto" w:val="clear"/>
        </w:tcPr>
        <w:p>
          <w:pPr>
            <w:pStyle w:val="Zawartotabeliuser"/>
            <w:widowControl w:val="false"/>
            <w:rPr>
              <w:rFonts w:ascii="Times New Roman" w:hAnsi="Times New Roman"/>
              <w:b/>
              <w:bCs/>
              <w:sz w:val="16"/>
              <w:szCs w:val="16"/>
            </w:rPr>
          </w:pPr>
          <w:r>
            <w:rPr/>
            <w:t>ESOD: 2026-3491</w:t>
          </w:r>
        </w:p>
      </w:tc>
      <w:tc>
        <w:tcPr>
          <w:tcW w:w="4536" w:type="dxa"/>
          <w:tcBorders>
            <w:top w:val="single" w:sz="8" w:space="0" w:color="000001"/>
          </w:tcBorders>
          <w:shd w:fill="auto" w:val="clear"/>
        </w:tcPr>
        <w:p>
          <w:pPr>
            <w:pStyle w:val="Zawartotabeliuser"/>
            <w:widowControl w:val="false"/>
            <w:jc w:val="right"/>
            <w:rPr/>
          </w:pPr>
          <w:r>
            <w:rPr/>
            <w:fldChar w:fldCharType="begin"/>
          </w:r>
          <w:r>
            <w:rPr/>
            <w:instrText xml:space="preserve"> PAGE </w:instrText>
          </w:r>
          <w:r>
            <w:rPr/>
            <w:fldChar w:fldCharType="separate"/>
          </w:r>
          <w:r>
            <w:rPr/>
            <w:t>2</w:t>
          </w:r>
          <w:r>
            <w:rPr/>
            <w:fldChar w:fldCharType="end"/>
          </w:r>
          <w:r>
            <w:rPr/>
            <w:t>/</w:t>
          </w:r>
          <w:r>
            <w:rPr/>
            <w:fldChar w:fldCharType="begin"/>
          </w:r>
          <w:r>
            <w:rPr/>
            <w:instrText xml:space="preserve"> NUMPAGES </w:instrText>
          </w:r>
          <w:r>
            <w:rPr/>
            <w:fldChar w:fldCharType="separate"/>
          </w:r>
          <w:r>
            <w:rPr/>
            <w:t>2</w:t>
          </w:r>
          <w:r>
            <w:rPr/>
            <w:fldChar w:fldCharType="end"/>
          </w:r>
        </w:p>
      </w:tc>
    </w:tr>
  </w:tbl>
  <w:p>
    <w:pPr>
      <w:pStyle w:val="Footer"/>
      <w:rPr>
        <w:rFonts w:ascii="Times New Roman" w:hAnsi="Times New Roman"/>
        <w:sz w:val="12"/>
        <w:szCs w:val="12"/>
      </w:rPr>
    </w:pPr>
    <w:r>
      <w:rPr>
        <w:rFonts w:ascii="Times New Roman" w:hAnsi="Times New Roman"/>
        <w:sz w:val="12"/>
        <w:szCs w:val="12"/>
      </w:rPr>
    </w:r>
  </w:p>
</w:ftr>
</file>

<file path=word/settings.xml><?xml version="1.0" encoding="utf-8"?>
<w:settings xmlns:w="http://schemas.openxmlformats.org/wordprocessingml/2006/main">
  <w:zoom w:percent="110"/>
  <w:defaultTabStop w:val="709"/>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Cs w:val="24"/>
        <w:lang w:val="pl-PL" w:eastAsia="zh-CN" w:bidi="hi-IN"/>
      </w:rPr>
    </w:rPrDefault>
    <w:pPrDefault>
      <w:pPr>
        <w:suppressAutoHyphens w:val="true"/>
      </w:pPr>
    </w:pPrDefault>
  </w:docDefaults>
  <w:style w:type="paragraph" w:styleId="Normal">
    <w:name w:val="Normal"/>
    <w:qFormat/>
    <w:pPr>
      <w:widowControl/>
      <w:suppressAutoHyphens w:val="true"/>
      <w:bidi w:val="0"/>
      <w:spacing w:lineRule="auto" w:line="360" w:before="0" w:after="0"/>
      <w:jc w:val="left"/>
    </w:pPr>
    <w:rPr>
      <w:rFonts w:ascii="Arial" w:hAnsi="Arial" w:eastAsia="SimSun" w:cs="Mangal"/>
      <w:color w:val="00000A"/>
      <w:kern w:val="2"/>
      <w:sz w:val="24"/>
      <w:szCs w:val="24"/>
      <w:lang w:val="pl-PL" w:eastAsia="zh-CN" w:bidi="hi-IN"/>
    </w:rPr>
  </w:style>
  <w:style w:type="character" w:styleId="czeinternetoweuser">
    <w:name w:val="Łącze internetowe (user)"/>
    <w:qFormat/>
    <w:rPr>
      <w:color w:val="000080"/>
      <w:u w:val="single"/>
      <w:lang w:val="zxx" w:eastAsia="zxx" w:bidi="zxx"/>
    </w:rPr>
  </w:style>
  <w:style w:type="character" w:styleId="Hyperlink">
    <w:name w:val="Hyperlink"/>
    <w:rPr>
      <w:color w:val="000080"/>
      <w:u w:val="single"/>
    </w:rPr>
  </w:style>
  <w:style w:type="paragraph" w:styleId="Nagwek">
    <w:name w:val="Nagłówek"/>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ks">
    <w:name w:val="Indeks"/>
    <w:basedOn w:val="Normal"/>
    <w:qFormat/>
    <w:pPr>
      <w:suppressLineNumbers/>
    </w:pPr>
    <w:rPr>
      <w:rFonts w:cs="Arial"/>
    </w:rPr>
  </w:style>
  <w:style w:type="paragraph" w:styleId="Nagwekuser">
    <w:name w:val="Nagłówek (user)"/>
    <w:basedOn w:val="Normal"/>
    <w:next w:val="BodyText"/>
    <w:qFormat/>
    <w:pPr>
      <w:keepNext w:val="true"/>
      <w:spacing w:before="240" w:after="120"/>
    </w:pPr>
    <w:rPr>
      <w:rFonts w:ascii="Liberation Sans" w:hAnsi="Liberation Sans" w:eastAsia="Microsoft YaHei" w:cs="Mangal"/>
      <w:sz w:val="28"/>
      <w:szCs w:val="28"/>
    </w:rPr>
  </w:style>
  <w:style w:type="paragraph" w:styleId="Indeksuser">
    <w:name w:val="Indeks (user)"/>
    <w:basedOn w:val="Normal"/>
    <w:qFormat/>
    <w:pPr>
      <w:suppressLineNumbers/>
    </w:pPr>
    <w:rPr>
      <w:rFonts w:cs="Mangal"/>
    </w:rPr>
  </w:style>
  <w:style w:type="paragraph" w:styleId="Gwkaistopkauser">
    <w:name w:val="Główka i stopka (user)"/>
    <w:basedOn w:val="Indeksuser"/>
    <w:qFormat/>
    <w:pPr/>
    <w:rPr/>
  </w:style>
  <w:style w:type="paragraph" w:styleId="Gwkaistopka">
    <w:name w:val="Główka i stopka"/>
    <w:basedOn w:val="Normal"/>
    <w:qFormat/>
    <w:pPr/>
    <w:rPr/>
  </w:style>
  <w:style w:type="paragraph" w:styleId="Footer">
    <w:name w:val="footer"/>
    <w:basedOn w:val="Normal"/>
    <w:pPr>
      <w:suppressLineNumbers/>
      <w:tabs>
        <w:tab w:val="clear" w:pos="709"/>
        <w:tab w:val="center" w:pos="4536" w:leader="none"/>
        <w:tab w:val="right" w:pos="9072" w:leader="none"/>
      </w:tabs>
    </w:pPr>
    <w:rPr/>
  </w:style>
  <w:style w:type="paragraph" w:styleId="Zawartotabeliuser">
    <w:name w:val="Zawartość tabeli (user)"/>
    <w:basedOn w:val="Normal"/>
    <w:qFormat/>
    <w:pPr>
      <w:suppressLineNumbers/>
      <w:spacing w:lineRule="auto" w:line="240"/>
    </w:pPr>
    <w:rPr>
      <w:rFonts w:ascii="Arial" w:hAnsi="Arial"/>
      <w:sz w:val="22"/>
    </w:rPr>
  </w:style>
  <w:style w:type="paragraph" w:styleId="Nagwektabeliuser">
    <w:name w:val="Nagłówek tabeli (user)"/>
    <w:basedOn w:val="Zawartotabeliuser"/>
    <w:qFormat/>
    <w:pPr>
      <w:suppressLineNumbers/>
      <w:jc w:val="center"/>
    </w:pPr>
    <w:rPr>
      <w:b/>
      <w:bCs/>
    </w:rPr>
  </w:style>
  <w:style w:type="paragraph" w:styleId="TrescZZM">
    <w:name w:val="TrescZZM"/>
    <w:basedOn w:val="Normal"/>
    <w:qFormat/>
    <w:pPr>
      <w:spacing w:before="0" w:after="238"/>
      <w:jc w:val="both"/>
    </w:pPr>
    <w:rPr/>
  </w:style>
  <w:style w:type="paragraph" w:styleId="caption1">
    <w:name w:val="caption1"/>
    <w:basedOn w:val="Normal"/>
    <w:qFormat/>
    <w:pPr>
      <w:suppressLineNumbers/>
      <w:spacing w:before="120" w:after="120"/>
    </w:pPr>
    <w:rPr>
      <w:rFonts w:cs="Mangal"/>
      <w:i/>
      <w:i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50</TotalTime>
  <Application>LibreOffice/25.8.5.2$Windows_X86_64 LibreOffice_project/9c8b85f387cc00a89945a79c9e6239f32e450ac2</Application>
  <AppVersion>15.0000</AppVersion>
  <Pages>2</Pages>
  <Words>378</Words>
  <Characters>2571</Characters>
  <CharactersWithSpaces>2940</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2018-06-04T12:17:33Z</dcterms:created>
  <dc:creator/>
  <dc:description/>
  <dc:language>pl-PL</dc:language>
  <cp:lastModifiedBy/>
  <cp:lastPrinted>2018-06-04T12:53:37Z</cp:lastPrinted>
  <dcterms:modified xsi:type="dcterms:W3CDTF">2026-04-30T09:21:24Z</dcterms:modified>
  <cp:revision>21</cp:revision>
  <dc:subject/>
  <dc:title/>
</cp:coreProperties>
</file>

<file path=docProps/custom.xml><?xml version="1.0" encoding="utf-8"?>
<Properties xmlns="http://schemas.openxmlformats.org/officeDocument/2006/custom-properties" xmlns:vt="http://schemas.openxmlformats.org/officeDocument/2006/docPropsVTypes"/>
</file>